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AB142" w14:textId="77777777" w:rsidR="00F1466B" w:rsidRDefault="00000000">
      <w:pPr>
        <w:spacing w:after="0"/>
        <w:ind w:left="2401"/>
      </w:pPr>
      <w:bookmarkStart w:id="0" w:name="_Hlk216969206"/>
      <w:r>
        <w:rPr>
          <w:noProof/>
        </w:rPr>
        <w:drawing>
          <wp:anchor distT="0" distB="0" distL="114300" distR="114300" simplePos="0" relativeHeight="251661312" behindDoc="0" locked="0" layoutInCell="1" allowOverlap="0" wp14:anchorId="226643D3" wp14:editId="4844C5E6">
            <wp:simplePos x="0" y="0"/>
            <wp:positionH relativeFrom="column">
              <wp:posOffset>-177</wp:posOffset>
            </wp:positionH>
            <wp:positionV relativeFrom="paragraph">
              <wp:posOffset>-5333</wp:posOffset>
            </wp:positionV>
            <wp:extent cx="1367155" cy="679450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6715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24"/>
        </w:rPr>
        <w:t xml:space="preserve">COMISSÃO EUROPEIA </w:t>
      </w:r>
    </w:p>
    <w:p w14:paraId="052EED39" w14:textId="77777777" w:rsidR="00F1466B" w:rsidRDefault="00000000">
      <w:pPr>
        <w:spacing w:after="3"/>
        <w:ind w:left="10" w:hanging="10"/>
      </w:pPr>
      <w:r>
        <w:rPr>
          <w:rFonts w:ascii="Arial" w:eastAsia="Arial" w:hAnsi="Arial" w:cs="Arial"/>
          <w:sz w:val="16"/>
        </w:rPr>
        <w:t xml:space="preserve">DIREÇÃO-GERAL DA CONCORRÊNCIA </w:t>
      </w:r>
    </w:p>
    <w:p w14:paraId="744F58AE" w14:textId="77777777" w:rsidR="00F1466B" w:rsidRDefault="00000000">
      <w:pPr>
        <w:spacing w:after="0"/>
        <w:ind w:left="2401"/>
      </w:pPr>
      <w:r>
        <w:rPr>
          <w:rFonts w:ascii="Arial" w:eastAsia="Arial" w:hAnsi="Arial" w:cs="Arial"/>
          <w:sz w:val="16"/>
        </w:rPr>
        <w:t xml:space="preserve"> </w:t>
      </w:r>
    </w:p>
    <w:p w14:paraId="2309F529" w14:textId="77777777" w:rsidR="00F1466B" w:rsidRDefault="00000000">
      <w:pPr>
        <w:spacing w:after="33"/>
        <w:ind w:right="327"/>
        <w:jc w:val="center"/>
      </w:pPr>
      <w:r>
        <w:rPr>
          <w:rFonts w:ascii="Arial" w:eastAsia="Arial" w:hAnsi="Arial" w:cs="Arial"/>
          <w:sz w:val="16"/>
        </w:rPr>
        <w:t xml:space="preserve">Mercados e Processos III — Serviços financeiros </w:t>
      </w:r>
    </w:p>
    <w:p w14:paraId="500EF9BD" w14:textId="77777777" w:rsidR="00F1466B" w:rsidRDefault="00000000">
      <w:pPr>
        <w:tabs>
          <w:tab w:val="center" w:pos="2153"/>
          <w:tab w:val="center" w:pos="2708"/>
        </w:tabs>
        <w:spacing w:after="416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Arial" w:eastAsia="Arial" w:hAnsi="Arial" w:cs="Arial"/>
          <w:b/>
          <w:sz w:val="16"/>
        </w:rPr>
        <w:t xml:space="preserve">Diretora </w:t>
      </w:r>
    </w:p>
    <w:p w14:paraId="698FAB50" w14:textId="77777777" w:rsidR="00F1466B" w:rsidRDefault="00000000">
      <w:pPr>
        <w:spacing w:after="10" w:line="249" w:lineRule="auto"/>
        <w:ind w:left="4974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Bruxelas, 17/12/2025 </w:t>
      </w:r>
    </w:p>
    <w:p w14:paraId="47AC0C3B" w14:textId="77777777" w:rsidR="00F1466B" w:rsidRDefault="00000000">
      <w:pPr>
        <w:pStyle w:val="Ttulo1"/>
        <w:ind w:left="4974"/>
      </w:pPr>
      <w:r>
        <w:t xml:space="preserve">COMP.D3/BS/RFL/AVL/LS/HT.373* comp(2025)14119100 </w:t>
      </w:r>
    </w:p>
    <w:p w14:paraId="2E5E0A0D" w14:textId="77777777" w:rsidR="00F1466B" w:rsidRDefault="00000000">
      <w:pPr>
        <w:spacing w:after="0"/>
        <w:ind w:left="13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8B46DA9" w14:textId="77777777" w:rsidR="00F1466B" w:rsidRDefault="00000000">
      <w:pPr>
        <w:spacing w:after="0"/>
        <w:ind w:left="13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CDFDD89" w14:textId="77777777" w:rsidR="00F1466B" w:rsidRDefault="00000000">
      <w:pPr>
        <w:spacing w:after="0"/>
        <w:ind w:left="134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342B53F" w14:textId="77777777" w:rsidR="00F1466B" w:rsidRDefault="00000000">
      <w:pPr>
        <w:spacing w:after="10" w:line="249" w:lineRule="auto"/>
        <w:ind w:left="49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Permanent Representation of Portugal </w:t>
      </w:r>
    </w:p>
    <w:p w14:paraId="1130220F" w14:textId="77777777" w:rsidR="00F1466B" w:rsidRDefault="00000000">
      <w:pPr>
        <w:spacing w:after="10" w:line="249" w:lineRule="auto"/>
        <w:ind w:left="49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Avenue de Cortenberg 12  </w:t>
      </w:r>
    </w:p>
    <w:p w14:paraId="7E9749B3" w14:textId="77777777" w:rsidR="00F1466B" w:rsidRDefault="00000000">
      <w:pPr>
        <w:spacing w:after="10" w:line="249" w:lineRule="auto"/>
        <w:ind w:left="4962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B-1040 Bruxelles / Brussel </w:t>
      </w:r>
    </w:p>
    <w:p w14:paraId="0CF35755" w14:textId="77777777" w:rsidR="00F1466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E6A22BB" w14:textId="77777777" w:rsidR="00F1466B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8C34B61" w14:textId="77777777" w:rsidR="00F1466B" w:rsidRDefault="00000000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772FB45B" w14:textId="77777777" w:rsidR="00F1466B" w:rsidRDefault="00000000">
      <w:pPr>
        <w:spacing w:after="0" w:line="249" w:lineRule="auto"/>
        <w:ind w:left="989" w:hanging="1004"/>
      </w:pPr>
      <w:r>
        <w:rPr>
          <w:rFonts w:ascii="Times New Roman" w:eastAsia="Times New Roman" w:hAnsi="Times New Roman" w:cs="Times New Roman"/>
          <w:b/>
          <w:sz w:val="24"/>
        </w:rPr>
        <w:t xml:space="preserve">Assunto: Taxas de referência, taxas de actualização e taxas de juro aplicáveis na recuperação de auxílios estatais </w:t>
      </w:r>
    </w:p>
    <w:p w14:paraId="7C270B74" w14:textId="77777777" w:rsidR="00F1466B" w:rsidRDefault="00000000">
      <w:pPr>
        <w:tabs>
          <w:tab w:val="center" w:pos="2430"/>
        </w:tabs>
        <w:spacing w:after="0" w:line="249" w:lineRule="auto"/>
        <w:ind w:left="-15"/>
      </w:pPr>
      <w:r>
        <w:rPr>
          <w:rFonts w:ascii="Times New Roman" w:eastAsia="Times New Roman" w:hAnsi="Times New Roman" w:cs="Times New Roman"/>
          <w:b/>
          <w:sz w:val="24"/>
        </w:rPr>
        <w:t xml:space="preserve">Ref.: </w:t>
      </w:r>
      <w:r>
        <w:rPr>
          <w:rFonts w:ascii="Times New Roman" w:eastAsia="Times New Roman" w:hAnsi="Times New Roman" w:cs="Times New Roman"/>
          <w:b/>
          <w:sz w:val="24"/>
        </w:rPr>
        <w:tab/>
        <w:t>(JO C 14 de 19.1.2008, p. 6.)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0EF5FD9" w14:textId="77777777" w:rsidR="00F1466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A3CC14C" w14:textId="77777777" w:rsidR="00F1466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7D08D08" w14:textId="77777777" w:rsidR="00F1466B" w:rsidRDefault="00000000">
      <w:pPr>
        <w:spacing w:after="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Exmos. Senhores: </w:t>
      </w:r>
    </w:p>
    <w:p w14:paraId="66BF13B1" w14:textId="77777777" w:rsidR="00F1466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B635873" w14:textId="77777777" w:rsidR="00F1466B" w:rsidRDefault="00000000">
      <w:pPr>
        <w:spacing w:after="11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Em 19 de Janeiro de 2008, a Comissão publicou no Jornal Oficial uma Comunicação sobre a revisão do método de fixação das taxas de referência e de actualização (JO C 14 de 19.1.2008, p. 6).  </w:t>
      </w:r>
    </w:p>
    <w:p w14:paraId="3D4503E0" w14:textId="77777777" w:rsidR="00F1466B" w:rsidRDefault="00000000">
      <w:pPr>
        <w:spacing w:after="110" w:line="249" w:lineRule="auto"/>
        <w:ind w:left="-5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168F701" wp14:editId="02D88ACD">
                <wp:simplePos x="0" y="0"/>
                <wp:positionH relativeFrom="page">
                  <wp:posOffset>7141725</wp:posOffset>
                </wp:positionH>
                <wp:positionV relativeFrom="page">
                  <wp:posOffset>3863556</wp:posOffset>
                </wp:positionV>
                <wp:extent cx="196900" cy="2966415"/>
                <wp:effectExtent l="0" t="0" r="0" b="0"/>
                <wp:wrapSquare wrapText="bothSides"/>
                <wp:docPr id="3109" name="Group 31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900" cy="2966415"/>
                          <a:chOff x="0" y="0"/>
                          <a:chExt cx="196900" cy="2966415"/>
                        </a:xfrm>
                      </wpg:grpSpPr>
                      <wps:wsp>
                        <wps:cNvPr id="330" name="Rectangle 330"/>
                        <wps:cNvSpPr/>
                        <wps:spPr>
                          <a:xfrm rot="-5399999">
                            <a:off x="-1841727" y="862811"/>
                            <a:ext cx="3945333" cy="2618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AA1027" w14:textId="16522124" w:rsidR="00F1466B" w:rsidRDefault="00F1466B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68F701" id="Group 3109" o:spid="_x0000_s1026" style="position:absolute;left:0;text-align:left;margin-left:562.35pt;margin-top:304.2pt;width:15.5pt;height:233.6pt;z-index:251662336;mso-position-horizontal-relative:page;mso-position-vertical-relative:page" coordsize="1969,29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">
                <v:rect id="Rectangle 330" o:spid="_x0000_s1027" style="position:absolute;left:-18418;top:8629;width:39453;height:2618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" filled="f" stroked="f">
                  <v:textbox inset="0,0,0,0">
                    <w:txbxContent>
                      <w:p w14:paraId="50AA1027" w14:textId="16522124" w:rsidR="00F1466B" w:rsidRDefault="00F1466B"/>
                    </w:txbxContent>
                  </v:textbox>
                </v:rect>
                <w10:wrap type="square" anchorx="page" anchory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</w:rPr>
        <w:t xml:space="preserve">Em conformidade com o mesmo método, a Comissão informa que a nova taxa de base para calcular a taxa de referência e de actualização relativa ao vosso país é a seguinte: </w:t>
      </w:r>
    </w:p>
    <w:p w14:paraId="1BB288E3" w14:textId="77777777" w:rsidR="00F1466B" w:rsidRDefault="00000000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3687" w:type="dxa"/>
        <w:tblInd w:w="2268" w:type="dxa"/>
        <w:tblCellMar>
          <w:top w:w="1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87"/>
      </w:tblGrid>
      <w:tr w:rsidR="00F1466B" w14:paraId="6FA33553" w14:textId="77777777">
        <w:trPr>
          <w:trHeight w:val="290"/>
        </w:trPr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A1E25" w14:textId="77777777" w:rsidR="00F1466B" w:rsidRDefault="00000000">
            <w:pPr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2,19% a partir de 1.1.2026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6341A0B8" w14:textId="77777777" w:rsidR="00F1466B" w:rsidRDefault="00000000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7BF9E83" w14:textId="77777777" w:rsidR="00F1466B" w:rsidRDefault="00000000">
      <w:pPr>
        <w:spacing w:after="23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Em função da utilização da taxa de referência, a taxa de base deve ser acrescida de uma margem adequada, estabelecida na referida comunicação.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Para o cálculo da taxa de actualização, isto significa que deve ser acrescentada uma margem de 100 pontos de base.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O Regulamento (CE) n.° 271/2008 da Comissão, de 30 de Janeiro de 2008, que altera o Regulamento de execução (CE) n.° 794/2004 prevê que, salvo disposição em contrário prevista numa decisão específica, a taxa de juro aplicável na recuperação dos auxílios estatais também será calculada adicionando 100 pontos de base à taxa de base.</w:t>
      </w:r>
      <w:r>
        <w:rPr>
          <w:rFonts w:ascii="Times New Roman" w:eastAsia="Times New Roman" w:hAnsi="Times New Roman" w:cs="Times New Roman"/>
          <w:b/>
          <w:sz w:val="20"/>
        </w:rPr>
        <w:t xml:space="preserve"> </w:t>
      </w:r>
    </w:p>
    <w:p w14:paraId="3D310878" w14:textId="77777777" w:rsidR="00F1466B" w:rsidRDefault="00000000">
      <w:pPr>
        <w:spacing w:after="230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A nova taxa de base é igualmente publicada na Internet no seguinte endereço:  </w:t>
      </w:r>
      <w:hyperlink r:id="rId8">
        <w:r w:rsidR="00F1466B">
          <w:rPr>
            <w:rFonts w:ascii="Times New Roman" w:eastAsia="Times New Roman" w:hAnsi="Times New Roman" w:cs="Times New Roman"/>
            <w:color w:val="0000FF"/>
            <w:sz w:val="24"/>
            <w:u w:val="single" w:color="0000FF"/>
          </w:rPr>
          <w:t>Reference and discount rates (europa.eu)</w:t>
        </w:r>
      </w:hyperlink>
      <w:hyperlink r:id="rId9">
        <w:r w:rsidR="00F1466B">
          <w:rPr>
            <w:rFonts w:ascii="Times New Roman" w:eastAsia="Times New Roman" w:hAnsi="Times New Roman" w:cs="Times New Roman"/>
            <w:sz w:val="24"/>
          </w:rPr>
          <w:t xml:space="preserve"> </w:t>
        </w:r>
      </w:hyperlink>
    </w:p>
    <w:p w14:paraId="1D1EA742" w14:textId="77777777" w:rsidR="00F1466B" w:rsidRDefault="00000000">
      <w:pPr>
        <w:spacing w:after="10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Com os melhores cumprimentos, </w:t>
      </w:r>
    </w:p>
    <w:p w14:paraId="3C034347" w14:textId="505884C2" w:rsidR="00F1466B" w:rsidRDefault="00F1466B">
      <w:pPr>
        <w:spacing w:after="96"/>
      </w:pPr>
    </w:p>
    <w:p w14:paraId="6438CC63" w14:textId="77777777" w:rsidR="00F1466B" w:rsidRDefault="00000000">
      <w:pPr>
        <w:spacing w:after="0"/>
        <w:ind w:right="1208"/>
        <w:jc w:val="right"/>
      </w:pPr>
      <w:r>
        <w:rPr>
          <w:rFonts w:ascii="Times New Roman" w:eastAsia="Times New Roman" w:hAnsi="Times New Roman" w:cs="Times New Roman"/>
          <w:i/>
          <w:sz w:val="24"/>
        </w:rPr>
        <w:t>e-</w:t>
      </w:r>
      <w:proofErr w:type="spellStart"/>
      <w:r>
        <w:rPr>
          <w:rFonts w:ascii="Times New Roman" w:eastAsia="Times New Roman" w:hAnsi="Times New Roman" w:cs="Times New Roman"/>
          <w:i/>
          <w:sz w:val="24"/>
        </w:rPr>
        <w:t>signed</w:t>
      </w:r>
      <w:proofErr w:type="spellEnd"/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205EABF" w14:textId="38BE2966" w:rsidR="00F1466B" w:rsidRDefault="00000000">
      <w:pPr>
        <w:spacing w:after="1407"/>
        <w:ind w:right="672"/>
        <w:jc w:val="right"/>
      </w:pPr>
      <w:r>
        <w:rPr>
          <w:rFonts w:ascii="Times New Roman" w:eastAsia="Times New Roman" w:hAnsi="Times New Roman" w:cs="Times New Roman"/>
          <w:sz w:val="24"/>
        </w:rPr>
        <w:t>Maria VELENTZA</w:t>
      </w:r>
    </w:p>
    <w:p w14:paraId="680B9A18" w14:textId="43CA0EBC" w:rsidR="00F1466B" w:rsidRDefault="00000000">
      <w:pPr>
        <w:tabs>
          <w:tab w:val="center" w:pos="7381"/>
        </w:tabs>
        <w:spacing w:after="3"/>
      </w:pPr>
      <w:proofErr w:type="spellStart"/>
      <w:r>
        <w:rPr>
          <w:rFonts w:ascii="Arial" w:eastAsia="Arial" w:hAnsi="Arial" w:cs="Arial"/>
          <w:sz w:val="16"/>
        </w:rPr>
        <w:t>Commission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européenne</w:t>
      </w:r>
      <w:proofErr w:type="spellEnd"/>
      <w:r>
        <w:rPr>
          <w:rFonts w:ascii="Arial" w:eastAsia="Arial" w:hAnsi="Arial" w:cs="Arial"/>
          <w:sz w:val="16"/>
        </w:rPr>
        <w:t>/</w:t>
      </w:r>
      <w:proofErr w:type="spellStart"/>
      <w:r>
        <w:rPr>
          <w:rFonts w:ascii="Arial" w:eastAsia="Arial" w:hAnsi="Arial" w:cs="Arial"/>
          <w:sz w:val="16"/>
        </w:rPr>
        <w:t>Europese</w:t>
      </w:r>
      <w:proofErr w:type="spellEnd"/>
      <w:r>
        <w:rPr>
          <w:rFonts w:ascii="Arial" w:eastAsia="Arial" w:hAnsi="Arial" w:cs="Arial"/>
          <w:sz w:val="16"/>
        </w:rPr>
        <w:t xml:space="preserve"> </w:t>
      </w:r>
      <w:proofErr w:type="spellStart"/>
      <w:r>
        <w:rPr>
          <w:rFonts w:ascii="Arial" w:eastAsia="Arial" w:hAnsi="Arial" w:cs="Arial"/>
          <w:sz w:val="16"/>
        </w:rPr>
        <w:t>Commissie</w:t>
      </w:r>
      <w:proofErr w:type="spellEnd"/>
      <w:r>
        <w:rPr>
          <w:rFonts w:ascii="Arial" w:eastAsia="Arial" w:hAnsi="Arial" w:cs="Arial"/>
          <w:sz w:val="16"/>
        </w:rPr>
        <w:t>, 1049 Bruxelles/Brussel, BELGIQUE/BELGIË</w:t>
      </w:r>
      <w:r>
        <w:rPr>
          <w:rFonts w:ascii="Verdana" w:eastAsia="Verdana" w:hAnsi="Verdana" w:cs="Verdana"/>
          <w:b/>
          <w:sz w:val="16"/>
        </w:rPr>
        <w:tab/>
      </w:r>
      <w:r>
        <w:rPr>
          <w:rFonts w:ascii="Arial" w:eastAsia="Arial" w:hAnsi="Arial" w:cs="Arial"/>
          <w:sz w:val="25"/>
          <w:vertAlign w:val="subscript"/>
        </w:rPr>
        <w:t>–</w:t>
      </w:r>
      <w:r>
        <w:rPr>
          <w:rFonts w:ascii="Arial" w:eastAsia="Arial" w:hAnsi="Arial" w:cs="Arial"/>
          <w:sz w:val="16"/>
        </w:rPr>
        <w:t xml:space="preserve"> Tel. +32 22991111 </w:t>
      </w:r>
      <w:bookmarkEnd w:id="0"/>
    </w:p>
    <w:sectPr w:rsidR="00F1466B" w:rsidSect="00464A45">
      <w:pgSz w:w="11906" w:h="16838"/>
      <w:pgMar w:top="284" w:right="1702" w:bottom="426" w:left="158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66B"/>
    <w:rsid w:val="00464A45"/>
    <w:rsid w:val="004F0649"/>
    <w:rsid w:val="00B50438"/>
    <w:rsid w:val="00C3529C"/>
    <w:rsid w:val="00F14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260"/>
  <w15:docId w15:val="{725951CF-4C27-4E6A-AC33-E1F6E222F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arter"/>
    <w:uiPriority w:val="9"/>
    <w:qFormat/>
    <w:pPr>
      <w:keepNext/>
      <w:keepLines/>
      <w:spacing w:after="8" w:line="249" w:lineRule="auto"/>
      <w:ind w:left="10" w:hanging="10"/>
      <w:outlineLvl w:val="0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link w:val="Ttulo1"/>
    <w:rPr>
      <w:rFonts w:ascii="Times New Roman" w:eastAsia="Times New Roman" w:hAnsi="Times New Roman" w:cs="Times New Roman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competition-policy/state-aid/legislation/reference-discount-rates-and-recovery-interest-rates/reference-and-discount_en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ec.europa.eu/competition-policy/state-aid/legislation/reference-discount-rates-and-recovery-interest-rates/reference-and-discount_en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a467c2-bcca-4c7b-9c11-a87798237622" xsi:nil="true"/>
    <lcf76f155ced4ddcb4097134ff3c332f xmlns="55a56a7f-139e-4d0b-82f5-06540710e0f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5F34874E26834885CE58FC991FF51F" ma:contentTypeVersion="15" ma:contentTypeDescription="Criar um novo documento." ma:contentTypeScope="" ma:versionID="53fe84e5f52dbb13485691c765cca7a0">
  <xsd:schema xmlns:xsd="http://www.w3.org/2001/XMLSchema" xmlns:xs="http://www.w3.org/2001/XMLSchema" xmlns:p="http://schemas.microsoft.com/office/2006/metadata/properties" xmlns:ns2="55a56a7f-139e-4d0b-82f5-06540710e0fd" xmlns:ns3="f0a467c2-bcca-4c7b-9c11-a87798237622" targetNamespace="http://schemas.microsoft.com/office/2006/metadata/properties" ma:root="true" ma:fieldsID="732588d33d9f57b807695e76dced0443" ns2:_="" ns3:_="">
    <xsd:import namespace="55a56a7f-139e-4d0b-82f5-06540710e0fd"/>
    <xsd:import namespace="f0a467c2-bcca-4c7b-9c11-a877982376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56a7f-139e-4d0b-82f5-06540710e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m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467c2-bcca-4c7b-9c11-a87798237622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b301832-f2ab-428b-8a2e-9176906a18ab}" ma:internalName="TaxCatchAll" ma:showField="CatchAllData" ma:web="f0a467c2-bcca-4c7b-9c11-a877982376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BF7861-5DA2-46FF-A2B2-F04C39EE1FE7}">
  <ds:schemaRefs>
    <ds:schemaRef ds:uri="http://schemas.microsoft.com/office/2006/metadata/properties"/>
    <ds:schemaRef ds:uri="http://schemas.microsoft.com/office/infopath/2007/PartnerControls"/>
    <ds:schemaRef ds:uri="f0a467c2-bcca-4c7b-9c11-a87798237622"/>
    <ds:schemaRef ds:uri="55a56a7f-139e-4d0b-82f5-06540710e0fd"/>
  </ds:schemaRefs>
</ds:datastoreItem>
</file>

<file path=customXml/itemProps2.xml><?xml version="1.0" encoding="utf-8"?>
<ds:datastoreItem xmlns:ds="http://schemas.openxmlformats.org/officeDocument/2006/customXml" ds:itemID="{FF218980-CD7B-436B-9EAB-1A7B71735E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8C2704-5CD0-4211-A8A8-26EFC68D48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a56a7f-139e-4d0b-82f5-06540710e0fd"/>
    <ds:schemaRef ds:uri="f0a467c2-bcca-4c7b-9c11-a877982376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Raúl Vieira da Silva</dc:creator>
  <cp:keywords/>
  <cp:lastModifiedBy>Natália Lourenço</cp:lastModifiedBy>
  <cp:revision>4</cp:revision>
  <dcterms:created xsi:type="dcterms:W3CDTF">2025-12-18T16:54:00Z</dcterms:created>
  <dcterms:modified xsi:type="dcterms:W3CDTF">2026-01-02T10:25:00Z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0x010100A35F34874E26834885CE58FC991FF51F</vt:lpwstr>
  </property>
</Properties>
</file>